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33" w:rsidRDefault="00A21433" w:rsidP="00A21433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rPr>
          <w:noProof/>
        </w:rPr>
        <w:t>21 December 2016</w:t>
      </w:r>
      <w:r>
        <w:tab/>
        <w:t>2:125-E3</w:t>
      </w:r>
    </w:p>
    <w:p w:rsidR="00A21433" w:rsidRDefault="00A21433" w:rsidP="00A21433">
      <w:pPr>
        <w:tabs>
          <w:tab w:val="right" w:pos="9000"/>
        </w:tabs>
      </w:pPr>
    </w:p>
    <w:p w:rsidR="00A21433" w:rsidRDefault="00A21433" w:rsidP="00A2143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-797560</wp:posOffset>
                </wp:positionV>
                <wp:extent cx="1943100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433" w:rsidRDefault="00A21433" w:rsidP="00A2143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6pt;margin-top:-62.8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" filled="f" stroked="f">
                <v:textbox>
                  <w:txbxContent>
                    <w:p w:rsidR="00A21433" w:rsidRDefault="00A21433" w:rsidP="00A2143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t>School Board</w:t>
      </w:r>
    </w:p>
    <w:p w:rsidR="00A21433" w:rsidRDefault="00A21433" w:rsidP="00A21433">
      <w:pPr>
        <w:pStyle w:val="Heading2"/>
        <w:rPr>
          <w:u w:val="none"/>
        </w:rPr>
      </w:pPr>
      <w:r>
        <w:t>Exhibit - Resolution to Regulate Expense Reimbursements</w:t>
      </w:r>
      <w:r w:rsidRPr="00472101">
        <w:rPr>
          <w:u w:val="none"/>
        </w:rPr>
        <w:t xml:space="preserve"> </w:t>
      </w:r>
    </w:p>
    <w:p w:rsidR="00A21433" w:rsidRPr="00617517" w:rsidRDefault="00A21433" w:rsidP="00A21433">
      <w:pPr>
        <w:pStyle w:val="BodyText"/>
        <w:rPr>
          <w:szCs w:val="22"/>
        </w:rPr>
      </w:pPr>
      <w:r w:rsidRPr="00617517">
        <w:rPr>
          <w:szCs w:val="22"/>
        </w:rPr>
        <w:t>WHEREAS, Section 10-20 of the School Code (105 ILCS 5/10-20) grants school boards other powers that are not inconsistent with their duties;</w:t>
      </w:r>
    </w:p>
    <w:p w:rsidR="00A21433" w:rsidRPr="00617517" w:rsidRDefault="00A21433" w:rsidP="00A21433">
      <w:pPr>
        <w:pStyle w:val="BodyText"/>
        <w:rPr>
          <w:szCs w:val="22"/>
        </w:rPr>
      </w:pPr>
      <w:proofErr w:type="gramStart"/>
      <w:r w:rsidRPr="00617517">
        <w:rPr>
          <w:szCs w:val="22"/>
        </w:rPr>
        <w:t>WHEREAS, Section 10 of the Local Government Travel Expense Control Act (50 ILCS 150/, added by P.A. 99-604, eff. 1-1-17) provides that the School Board shall by resolution regulate the reimbursement of all travel, meal, and lodging expenses of officers and employees, including, but not limited to: (1) the types of official business for which travel, meal, and lodging expenses are allowed; (2) maximum allowable reimbursement for travel, meal, and lodging expenses; and (3) a standardized form for submission of travel, meal, and lodging expenses supported</w:t>
      </w:r>
      <w:r>
        <w:rPr>
          <w:szCs w:val="22"/>
        </w:rPr>
        <w:t xml:space="preserve"> with</w:t>
      </w:r>
      <w:r w:rsidRPr="00617517">
        <w:rPr>
          <w:szCs w:val="22"/>
        </w:rPr>
        <w:t xml:space="preserve"> minimum documentation;</w:t>
      </w:r>
      <w:proofErr w:type="gramEnd"/>
    </w:p>
    <w:p w:rsidR="00A21433" w:rsidRPr="00617517" w:rsidRDefault="00A21433" w:rsidP="00A21433">
      <w:pPr>
        <w:pStyle w:val="BodyText"/>
        <w:rPr>
          <w:szCs w:val="22"/>
        </w:rPr>
      </w:pPr>
      <w:r w:rsidRPr="00617517">
        <w:rPr>
          <w:szCs w:val="22"/>
        </w:rPr>
        <w:t xml:space="preserve">WHEREAS, the Board regulates the types of expenses that </w:t>
      </w:r>
      <w:proofErr w:type="gramStart"/>
      <w:r w:rsidRPr="00617517">
        <w:rPr>
          <w:szCs w:val="22"/>
        </w:rPr>
        <w:t>are allowed</w:t>
      </w:r>
      <w:proofErr w:type="gramEnd"/>
      <w:r w:rsidRPr="00617517">
        <w:rPr>
          <w:szCs w:val="22"/>
        </w:rPr>
        <w:t xml:space="preserve"> in Board Policies 2:125, </w:t>
      </w:r>
      <w:r w:rsidRPr="00617517">
        <w:rPr>
          <w:i/>
          <w:szCs w:val="22"/>
        </w:rPr>
        <w:t xml:space="preserve">Board Member Compensation; Expenses </w:t>
      </w:r>
      <w:r w:rsidRPr="00617517">
        <w:rPr>
          <w:szCs w:val="22"/>
        </w:rPr>
        <w:t xml:space="preserve">and 5:60, </w:t>
      </w:r>
      <w:r w:rsidRPr="00617517">
        <w:rPr>
          <w:i/>
          <w:szCs w:val="22"/>
        </w:rPr>
        <w:t>Expenses</w:t>
      </w:r>
      <w:r w:rsidRPr="00617517">
        <w:rPr>
          <w:szCs w:val="22"/>
        </w:rPr>
        <w:t>;</w:t>
      </w:r>
    </w:p>
    <w:p w:rsidR="00A21433" w:rsidRPr="00617517" w:rsidRDefault="00A21433" w:rsidP="00A21433">
      <w:pPr>
        <w:pStyle w:val="BodyText"/>
        <w:rPr>
          <w:szCs w:val="22"/>
        </w:rPr>
      </w:pPr>
      <w:r w:rsidRPr="00617517">
        <w:rPr>
          <w:szCs w:val="22"/>
        </w:rPr>
        <w:t>WHEREAS, based upon the School District’s budget and other financial considerations, the Superintendent has recommended to the Board a maximum allowable reimbursement amount of $</w:t>
      </w:r>
      <w:r w:rsidRPr="00617517">
        <w:rPr>
          <w:i/>
          <w:szCs w:val="22"/>
          <w:u w:val="single"/>
        </w:rPr>
        <w:t>[amount]</w:t>
      </w:r>
      <w:r w:rsidRPr="00617517">
        <w:rPr>
          <w:szCs w:val="22"/>
          <w:u w:val="single"/>
        </w:rPr>
        <w:tab/>
      </w:r>
      <w:r w:rsidRPr="00617517">
        <w:rPr>
          <w:szCs w:val="22"/>
          <w:u w:val="single"/>
        </w:rPr>
        <w:tab/>
      </w:r>
      <w:r w:rsidRPr="00617517">
        <w:rPr>
          <w:szCs w:val="22"/>
        </w:rPr>
        <w:t xml:space="preserve"> for Board members and District staff;</w:t>
      </w:r>
    </w:p>
    <w:p w:rsidR="00A21433" w:rsidRPr="00617517" w:rsidRDefault="00A21433" w:rsidP="00A21433">
      <w:pPr>
        <w:pStyle w:val="BodyText"/>
        <w:rPr>
          <w:szCs w:val="22"/>
        </w:rPr>
      </w:pPr>
      <w:r w:rsidRPr="00617517">
        <w:rPr>
          <w:szCs w:val="22"/>
        </w:rPr>
        <w:t>WHEREAS, the Board requires submission of</w:t>
      </w:r>
      <w:r>
        <w:rPr>
          <w:szCs w:val="22"/>
        </w:rPr>
        <w:t xml:space="preserve"> appropriate</w:t>
      </w:r>
      <w:r w:rsidRPr="00617517">
        <w:rPr>
          <w:szCs w:val="22"/>
        </w:rPr>
        <w:t xml:space="preserve"> standardized expense </w:t>
      </w:r>
      <w:r>
        <w:rPr>
          <w:szCs w:val="22"/>
        </w:rPr>
        <w:t>f</w:t>
      </w:r>
      <w:r w:rsidRPr="00617517">
        <w:rPr>
          <w:szCs w:val="22"/>
        </w:rPr>
        <w:t xml:space="preserve">orms supported with </w:t>
      </w:r>
      <w:r>
        <w:rPr>
          <w:szCs w:val="22"/>
        </w:rPr>
        <w:t xml:space="preserve">required </w:t>
      </w:r>
      <w:r w:rsidRPr="00617517">
        <w:rPr>
          <w:szCs w:val="22"/>
        </w:rPr>
        <w:t xml:space="preserve">written minimum documentation </w:t>
      </w:r>
      <w:r>
        <w:rPr>
          <w:szCs w:val="22"/>
        </w:rPr>
        <w:t>(</w:t>
      </w:r>
      <w:r w:rsidRPr="00617517">
        <w:rPr>
          <w:szCs w:val="22"/>
        </w:rPr>
        <w:t>50 ILCS 150/10 and 20);</w:t>
      </w:r>
    </w:p>
    <w:p w:rsidR="00A21433" w:rsidRPr="00617517" w:rsidRDefault="00A21433" w:rsidP="00A21433">
      <w:pPr>
        <w:pStyle w:val="BodyText"/>
        <w:rPr>
          <w:szCs w:val="22"/>
        </w:rPr>
      </w:pPr>
      <w:r w:rsidRPr="00617517">
        <w:rPr>
          <w:szCs w:val="22"/>
        </w:rPr>
        <w:t xml:space="preserve">WHEREAS, submitted expenses that exceed the Board’s maximum allowable reimbursement amount may be approved by a roll call vote at an open meeting of the Board when an emergency or other extraordinary circumstance exists (50 ILCS 150/10 and 15); </w:t>
      </w:r>
    </w:p>
    <w:p w:rsidR="00A21433" w:rsidRPr="00617517" w:rsidRDefault="00A21433" w:rsidP="00A21433">
      <w:pPr>
        <w:pStyle w:val="BodyText"/>
        <w:rPr>
          <w:szCs w:val="22"/>
        </w:rPr>
      </w:pPr>
      <w:r w:rsidRPr="00617517">
        <w:rPr>
          <w:szCs w:val="22"/>
        </w:rPr>
        <w:t>WHEREAS, all Board member expenses must be approved by a roll call vote at an open meeting of the Board (50 ILCS 150/15);</w:t>
      </w:r>
    </w:p>
    <w:p w:rsidR="00A21433" w:rsidRPr="00617517" w:rsidRDefault="00A21433" w:rsidP="00A21433">
      <w:pPr>
        <w:pStyle w:val="BodyText"/>
        <w:spacing w:before="40" w:after="40"/>
        <w:rPr>
          <w:szCs w:val="22"/>
        </w:rPr>
      </w:pPr>
      <w:r w:rsidRPr="00617517">
        <w:rPr>
          <w:szCs w:val="22"/>
        </w:rPr>
        <w:t xml:space="preserve">THEREFORE, BE IT </w:t>
      </w:r>
      <w:proofErr w:type="gramStart"/>
      <w:r w:rsidRPr="00617517">
        <w:rPr>
          <w:szCs w:val="22"/>
        </w:rPr>
        <w:t>RESOLVED,</w:t>
      </w:r>
      <w:proofErr w:type="gramEnd"/>
      <w:r w:rsidRPr="00617517">
        <w:rPr>
          <w:szCs w:val="22"/>
        </w:rPr>
        <w:t xml:space="preserve"> that the Board hereby: </w:t>
      </w:r>
    </w:p>
    <w:p w:rsidR="00A21433" w:rsidRPr="00617517" w:rsidRDefault="00A21433" w:rsidP="00A21433">
      <w:pPr>
        <w:pStyle w:val="BodyText"/>
        <w:numPr>
          <w:ilvl w:val="0"/>
          <w:numId w:val="1"/>
        </w:numPr>
        <w:spacing w:before="40" w:after="20"/>
        <w:ind w:left="360"/>
        <w:rPr>
          <w:szCs w:val="22"/>
        </w:rPr>
      </w:pPr>
      <w:r w:rsidRPr="00617517">
        <w:rPr>
          <w:szCs w:val="22"/>
        </w:rPr>
        <w:t xml:space="preserve">Defines and sets the types of allowable expenses through Board </w:t>
      </w:r>
      <w:r>
        <w:rPr>
          <w:szCs w:val="22"/>
        </w:rPr>
        <w:t>p</w:t>
      </w:r>
      <w:r w:rsidRPr="00617517">
        <w:rPr>
          <w:szCs w:val="22"/>
        </w:rPr>
        <w:t xml:space="preserve">olicy 2:125, </w:t>
      </w:r>
      <w:r w:rsidRPr="00617517">
        <w:rPr>
          <w:i/>
          <w:szCs w:val="22"/>
        </w:rPr>
        <w:t>Board Member Compensation</w:t>
      </w:r>
      <w:proofErr w:type="gramStart"/>
      <w:r w:rsidRPr="00617517">
        <w:rPr>
          <w:i/>
          <w:szCs w:val="22"/>
        </w:rPr>
        <w:t>;</w:t>
      </w:r>
      <w:proofErr w:type="gramEnd"/>
      <w:r w:rsidRPr="00617517">
        <w:rPr>
          <w:i/>
          <w:szCs w:val="22"/>
        </w:rPr>
        <w:t xml:space="preserve"> Expenses</w:t>
      </w:r>
      <w:r w:rsidRPr="00617517">
        <w:rPr>
          <w:szCs w:val="22"/>
        </w:rPr>
        <w:t xml:space="preserve"> and 5:60, </w:t>
      </w:r>
      <w:r w:rsidRPr="00617517">
        <w:rPr>
          <w:i/>
          <w:szCs w:val="22"/>
        </w:rPr>
        <w:t>Expenses</w:t>
      </w:r>
      <w:r>
        <w:rPr>
          <w:szCs w:val="22"/>
        </w:rPr>
        <w:t>.</w:t>
      </w:r>
      <w:r w:rsidRPr="00617517">
        <w:rPr>
          <w:szCs w:val="22"/>
        </w:rPr>
        <w:t xml:space="preserve"> </w:t>
      </w:r>
    </w:p>
    <w:p w:rsidR="00A21433" w:rsidRDefault="00A21433" w:rsidP="00A21433">
      <w:pPr>
        <w:pStyle w:val="BodyText"/>
        <w:numPr>
          <w:ilvl w:val="0"/>
          <w:numId w:val="1"/>
        </w:numPr>
        <w:spacing w:before="40" w:after="20"/>
        <w:ind w:left="360"/>
        <w:rPr>
          <w:szCs w:val="22"/>
        </w:rPr>
      </w:pPr>
      <w:r w:rsidRPr="00617517">
        <w:rPr>
          <w:szCs w:val="22"/>
        </w:rPr>
        <w:t>Sets the maximum allowable reimbursement for travel, meal, and lodging expenses to an amount not to exceed $</w:t>
      </w:r>
      <w:r w:rsidRPr="00617517">
        <w:rPr>
          <w:i/>
          <w:szCs w:val="22"/>
          <w:u w:val="single"/>
        </w:rPr>
        <w:t>[amount]</w:t>
      </w:r>
      <w:r w:rsidRPr="00617517">
        <w:rPr>
          <w:szCs w:val="22"/>
          <w:u w:val="single"/>
        </w:rPr>
        <w:tab/>
      </w:r>
      <w:r w:rsidRPr="00617517">
        <w:rPr>
          <w:szCs w:val="22"/>
          <w:u w:val="single"/>
        </w:rPr>
        <w:tab/>
      </w:r>
      <w:r w:rsidRPr="00617517">
        <w:rPr>
          <w:szCs w:val="22"/>
        </w:rPr>
        <w:t xml:space="preserve">, effective on </w:t>
      </w:r>
      <w:r w:rsidRPr="00617517">
        <w:rPr>
          <w:i/>
          <w:szCs w:val="22"/>
          <w:u w:val="single"/>
        </w:rPr>
        <w:t>[date]</w:t>
      </w:r>
      <w:r w:rsidRPr="00617517">
        <w:rPr>
          <w:szCs w:val="22"/>
          <w:u w:val="single"/>
        </w:rPr>
        <w:tab/>
      </w:r>
      <w:r w:rsidRPr="00617517">
        <w:rPr>
          <w:szCs w:val="22"/>
          <w:u w:val="single"/>
        </w:rPr>
        <w:tab/>
      </w:r>
      <w:r w:rsidRPr="00617517">
        <w:rPr>
          <w:szCs w:val="22"/>
        </w:rPr>
        <w:t xml:space="preserve"> until</w:t>
      </w:r>
      <w:r>
        <w:rPr>
          <w:szCs w:val="22"/>
        </w:rPr>
        <w:t xml:space="preserve"> the Resolution is rescinded or replaced by the Board.</w:t>
      </w:r>
    </w:p>
    <w:p w:rsidR="00A21433" w:rsidRPr="00617517" w:rsidRDefault="00A21433" w:rsidP="00A21433">
      <w:pPr>
        <w:pStyle w:val="BodyText"/>
        <w:numPr>
          <w:ilvl w:val="0"/>
          <w:numId w:val="1"/>
        </w:numPr>
        <w:spacing w:before="40" w:after="20"/>
        <w:ind w:left="360"/>
        <w:rPr>
          <w:szCs w:val="22"/>
        </w:rPr>
      </w:pPr>
      <w:r>
        <w:rPr>
          <w:szCs w:val="22"/>
        </w:rPr>
        <w:t xml:space="preserve">Supersedes its previously adopted </w:t>
      </w:r>
      <w:r w:rsidRPr="00A34832">
        <w:rPr>
          <w:i/>
          <w:szCs w:val="22"/>
        </w:rPr>
        <w:t>Resolution to Regulate Expense Reimbursements</w:t>
      </w:r>
      <w:r>
        <w:rPr>
          <w:szCs w:val="22"/>
        </w:rPr>
        <w:t xml:space="preserve"> as of the effective date in paragraph two above.</w:t>
      </w:r>
    </w:p>
    <w:p w:rsidR="00A21433" w:rsidRPr="00617517" w:rsidRDefault="00A21433" w:rsidP="00A21433">
      <w:pPr>
        <w:pStyle w:val="BodyText"/>
        <w:numPr>
          <w:ilvl w:val="0"/>
          <w:numId w:val="1"/>
        </w:numPr>
        <w:spacing w:before="40" w:after="20"/>
        <w:ind w:left="360"/>
        <w:rPr>
          <w:szCs w:val="22"/>
        </w:rPr>
      </w:pPr>
      <w:r w:rsidRPr="00617517">
        <w:rPr>
          <w:szCs w:val="22"/>
        </w:rPr>
        <w:t xml:space="preserve">Requires </w:t>
      </w:r>
      <w:r>
        <w:rPr>
          <w:szCs w:val="22"/>
        </w:rPr>
        <w:t xml:space="preserve">use of </w:t>
      </w:r>
      <w:r w:rsidRPr="00617517">
        <w:rPr>
          <w:szCs w:val="22"/>
        </w:rPr>
        <w:t xml:space="preserve">Board exhibits 2:125-E1, </w:t>
      </w:r>
      <w:r w:rsidRPr="00617517">
        <w:rPr>
          <w:i/>
          <w:szCs w:val="22"/>
        </w:rPr>
        <w:t>Board Member Expense Reimbursement Form</w:t>
      </w:r>
      <w:r w:rsidRPr="00617517">
        <w:rPr>
          <w:szCs w:val="22"/>
        </w:rPr>
        <w:t xml:space="preserve">; 2:125-E2, </w:t>
      </w:r>
      <w:r w:rsidRPr="00617517">
        <w:rPr>
          <w:i/>
          <w:szCs w:val="22"/>
        </w:rPr>
        <w:t>Board Member Estimated Expense Approval Form</w:t>
      </w:r>
      <w:r w:rsidRPr="00617517">
        <w:rPr>
          <w:szCs w:val="22"/>
        </w:rPr>
        <w:t xml:space="preserve">; 5:60-E1, </w:t>
      </w:r>
      <w:r w:rsidRPr="00617517">
        <w:rPr>
          <w:i/>
          <w:szCs w:val="22"/>
        </w:rPr>
        <w:t xml:space="preserve">Employee Expense </w:t>
      </w:r>
      <w:r>
        <w:rPr>
          <w:i/>
          <w:szCs w:val="22"/>
        </w:rPr>
        <w:t xml:space="preserve">Reimbursement </w:t>
      </w:r>
      <w:r w:rsidRPr="00617517">
        <w:rPr>
          <w:i/>
          <w:szCs w:val="22"/>
        </w:rPr>
        <w:t>Form</w:t>
      </w:r>
      <w:r w:rsidRPr="00617517">
        <w:rPr>
          <w:szCs w:val="22"/>
        </w:rPr>
        <w:t xml:space="preserve">; and 5:60-E2, </w:t>
      </w:r>
      <w:r w:rsidRPr="00617517">
        <w:rPr>
          <w:i/>
          <w:szCs w:val="22"/>
        </w:rPr>
        <w:t>Employee Estimated Expense Approval Form</w:t>
      </w:r>
      <w:r>
        <w:rPr>
          <w:szCs w:val="22"/>
        </w:rPr>
        <w:t>.</w:t>
      </w:r>
      <w:r w:rsidRPr="00617517">
        <w:rPr>
          <w:szCs w:val="22"/>
        </w:rPr>
        <w:t xml:space="preserve"> </w:t>
      </w:r>
    </w:p>
    <w:p w:rsidR="00A21433" w:rsidRPr="00617517" w:rsidRDefault="00A21433" w:rsidP="00A21433">
      <w:pPr>
        <w:pStyle w:val="BodyText"/>
        <w:numPr>
          <w:ilvl w:val="0"/>
          <w:numId w:val="1"/>
        </w:numPr>
        <w:spacing w:before="40" w:after="20"/>
        <w:ind w:left="360"/>
        <w:rPr>
          <w:szCs w:val="22"/>
        </w:rPr>
      </w:pPr>
      <w:r w:rsidRPr="00617517">
        <w:rPr>
          <w:szCs w:val="22"/>
        </w:rPr>
        <w:t>May approve expenses that exceed the Board’s maximum allowable reimbursement amount by a roll call vote at an open meeting when an emergency or other extraordinary circumstance exists</w:t>
      </w:r>
      <w:r>
        <w:rPr>
          <w:szCs w:val="22"/>
        </w:rPr>
        <w:t>.</w:t>
      </w:r>
      <w:r w:rsidRPr="00617517">
        <w:rPr>
          <w:szCs w:val="22"/>
        </w:rPr>
        <w:t xml:space="preserve"> </w:t>
      </w:r>
    </w:p>
    <w:p w:rsidR="00A21433" w:rsidRPr="00617517" w:rsidRDefault="00A21433" w:rsidP="00A21433">
      <w:pPr>
        <w:pStyle w:val="BodyText"/>
        <w:numPr>
          <w:ilvl w:val="0"/>
          <w:numId w:val="1"/>
        </w:numPr>
        <w:spacing w:before="40" w:after="20"/>
        <w:ind w:left="360"/>
        <w:rPr>
          <w:szCs w:val="22"/>
        </w:rPr>
      </w:pPr>
      <w:r w:rsidRPr="00617517">
        <w:rPr>
          <w:szCs w:val="22"/>
        </w:rPr>
        <w:t>Must approve its members’ expenses by a roll call vote at an open meeting.</w:t>
      </w:r>
    </w:p>
    <w:p w:rsidR="00A21433" w:rsidRDefault="00A21433" w:rsidP="00A21433">
      <w:pPr>
        <w:pStyle w:val="BodyText"/>
        <w:spacing w:before="200" w:after="0"/>
        <w:rPr>
          <w:kern w:val="0"/>
          <w:szCs w:val="22"/>
        </w:rPr>
      </w:pPr>
      <w:r w:rsidRPr="00617517">
        <w:rPr>
          <w:kern w:val="0"/>
          <w:szCs w:val="22"/>
        </w:rPr>
        <w:t>Attested by</w:t>
      </w:r>
      <w:proofErr w:type="gramStart"/>
      <w:r w:rsidRPr="00617517">
        <w:rPr>
          <w:kern w:val="0"/>
          <w:szCs w:val="22"/>
        </w:rPr>
        <w:t xml:space="preserve">: </w:t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>
        <w:rPr>
          <w:kern w:val="0"/>
          <w:szCs w:val="22"/>
        </w:rPr>
        <w:t>,</w:t>
      </w:r>
      <w:proofErr w:type="gramEnd"/>
      <w:r>
        <w:rPr>
          <w:kern w:val="0"/>
          <w:szCs w:val="22"/>
        </w:rPr>
        <w:t xml:space="preserve"> </w:t>
      </w:r>
      <w:r w:rsidRPr="00617517">
        <w:rPr>
          <w:kern w:val="0"/>
          <w:szCs w:val="22"/>
        </w:rPr>
        <w:t>Board President</w:t>
      </w:r>
    </w:p>
    <w:p w:rsidR="00A21433" w:rsidRDefault="00A21433" w:rsidP="00A21433">
      <w:pPr>
        <w:overflowPunct/>
        <w:autoSpaceDE/>
        <w:autoSpaceDN/>
        <w:adjustRightInd/>
        <w:spacing w:before="200"/>
        <w:contextualSpacing/>
        <w:textAlignment w:val="auto"/>
        <w:rPr>
          <w:kern w:val="0"/>
          <w:szCs w:val="22"/>
        </w:rPr>
      </w:pPr>
      <w:r w:rsidRPr="00617517">
        <w:rPr>
          <w:kern w:val="0"/>
          <w:szCs w:val="22"/>
        </w:rPr>
        <w:t>Attested by</w:t>
      </w:r>
      <w:proofErr w:type="gramStart"/>
      <w:r w:rsidRPr="00617517">
        <w:rPr>
          <w:kern w:val="0"/>
          <w:szCs w:val="22"/>
        </w:rPr>
        <w:t xml:space="preserve">: </w:t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>
        <w:rPr>
          <w:kern w:val="0"/>
          <w:szCs w:val="22"/>
        </w:rPr>
        <w:t>,</w:t>
      </w:r>
      <w:proofErr w:type="gramEnd"/>
      <w:r>
        <w:rPr>
          <w:kern w:val="0"/>
          <w:szCs w:val="22"/>
        </w:rPr>
        <w:t xml:space="preserve"> Board Secretary</w:t>
      </w:r>
    </w:p>
    <w:p w:rsidR="00E32FA9" w:rsidRDefault="00E32FA9">
      <w:bookmarkStart w:id="0" w:name="_GoBack"/>
      <w:bookmarkEnd w:id="0"/>
    </w:p>
    <w:sectPr w:rsidR="00E32FA9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41" w:rsidRDefault="00A21433">
    <w:pPr>
      <w:pStyle w:val="Footer"/>
      <w:tabs>
        <w:tab w:val="clear" w:pos="4320"/>
        <w:tab w:val="clear" w:pos="8640"/>
        <w:tab w:val="right" w:pos="9000"/>
      </w:tabs>
    </w:pPr>
  </w:p>
  <w:p w:rsidR="00314E41" w:rsidRDefault="00A21433">
    <w:pPr>
      <w:pStyle w:val="Footer"/>
      <w:tabs>
        <w:tab w:val="clear" w:pos="4320"/>
        <w:tab w:val="clear" w:pos="8640"/>
        <w:tab w:val="right" w:pos="9000"/>
      </w:tabs>
    </w:pPr>
    <w:r>
      <w:t>2:125-E3</w:t>
    </w:r>
    <w:r>
      <w:tab/>
      <w:t xml:space="preserve">Page </w:t>
    </w: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14E41" w:rsidRDefault="00A21433" w:rsidP="00744161">
    <w:pPr>
      <w:keepLines/>
      <w:jc w:val="center"/>
      <w:rPr>
        <w:sz w:val="16"/>
      </w:rPr>
    </w:pPr>
    <w:r>
      <w:rPr>
        <w:sz w:val="16"/>
      </w:rPr>
      <w:t xml:space="preserve">©2016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314E41" w:rsidRDefault="00A21433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314E41" w:rsidRDefault="00A21433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16FF0"/>
    <w:multiLevelType w:val="hybridMultilevel"/>
    <w:tmpl w:val="83863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33"/>
    <w:rsid w:val="00A21433"/>
    <w:rsid w:val="00E3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E49E5-CC59-47BE-A5FA-7B88774E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A21433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A21433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1433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21433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A21433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A21433"/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rsid w:val="00A214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1433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A214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1433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1</cp:revision>
  <dcterms:created xsi:type="dcterms:W3CDTF">2016-11-28T17:30:00Z</dcterms:created>
  <dcterms:modified xsi:type="dcterms:W3CDTF">2016-11-28T17:30:00Z</dcterms:modified>
</cp:coreProperties>
</file>